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117E0" w14:textId="0F6A00A9" w:rsidR="00C45F80" w:rsidRDefault="00C45F80"/>
    <w:p w14:paraId="70A7FDF3" w14:textId="3563126D" w:rsidR="00DC1DEB" w:rsidRDefault="00E34A42">
      <w:r>
        <w:t xml:space="preserve">EVIDENCIA OBLIGACION </w:t>
      </w:r>
      <w:r w:rsidR="00F978DA">
        <w:t xml:space="preserve"> </w:t>
      </w:r>
    </w:p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D51973" w:rsidRPr="008E6FC5" w14:paraId="00CAB910" w14:textId="77777777" w:rsidTr="002A625F">
        <w:trPr>
          <w:trHeight w:val="212"/>
        </w:trPr>
        <w:tc>
          <w:tcPr>
            <w:tcW w:w="522" w:type="dxa"/>
          </w:tcPr>
          <w:p w14:paraId="4F3D4E8F" w14:textId="38B0E115" w:rsidR="00D51973" w:rsidRPr="008E6FC5" w:rsidRDefault="00D51973" w:rsidP="00D51973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2271" w:type="dxa"/>
          </w:tcPr>
          <w:p w14:paraId="7DFBB6BC" w14:textId="37B7A54B" w:rsidR="00D51973" w:rsidRPr="008E6FC5" w:rsidRDefault="00D51973" w:rsidP="00D51973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F59E8">
              <w:rPr>
                <w:rFonts w:cs="Calibri"/>
                <w:sz w:val="22"/>
                <w:szCs w:val="22"/>
              </w:rPr>
              <w:t>Elaborar los informes técnicos requeridos para el seguimiento de actividades, necesidades, proyectos o contratos relacionados con mantenimientos, adecuación, construcción, ampliación, adquisición o intervención estructural de la infraestructura física de la regional y sus centros de formación, sin que ello implique subordinación jerárquica</w:t>
            </w:r>
          </w:p>
        </w:tc>
        <w:tc>
          <w:tcPr>
            <w:tcW w:w="2590" w:type="dxa"/>
          </w:tcPr>
          <w:p w14:paraId="2F2253F0" w14:textId="00DDE111" w:rsidR="00D51973" w:rsidRPr="008E6FC5" w:rsidRDefault="003B1895" w:rsidP="00D519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B1895">
              <w:rPr>
                <w:rFonts w:ascii="Arial" w:hAnsi="Arial" w:cs="Arial"/>
                <w:color w:val="000000" w:themeColor="text1"/>
              </w:rPr>
              <w:t>En ejercicio de las actividades de seguimiento y sin implicar subordinación jerárquica, se consolidaron y elaboraron los informes técnicos detallados requeridos para el control de los proyectos e intervenciones de la infraestructura física de la regional; esto incluyó la formulación de los reportes técnicos de diagnóstico precontractual para los procesos de mantenimiento de cuartos de almacenamiento, tanques de agua y redes hidrosanitarias, así como el informe de evaluación técnica para el sistema de ascensores. Asimismo, se proyectó el informe técnico oficial de respuesta dirigido a la Secretaría de Educación Departamental del Tolima en el marco del convenio interadministrativo y se documentaron mediante informes de gestión las actividades de acompañamiento permanente a los proyectos de ambientes no convencionales, el sistema de bombas eyectoras y el mantenimiento de las redes eléctricas de la entidad.</w:t>
            </w:r>
          </w:p>
        </w:tc>
        <w:tc>
          <w:tcPr>
            <w:tcW w:w="4682" w:type="dxa"/>
          </w:tcPr>
          <w:p w14:paraId="5DDC6A93" w14:textId="7D939737" w:rsidR="003B1895" w:rsidRPr="007B3CD9" w:rsidRDefault="003B1895" w:rsidP="003B1895">
            <w:pPr>
              <w:pStyle w:val="Sinespaciado"/>
              <w:jc w:val="both"/>
              <w:rPr>
                <w:rFonts w:ascii="Arial" w:eastAsia="Calibri" w:hAnsi="Arial" w:cs="Arial"/>
                <w:color w:val="000000" w:themeColor="text1"/>
                <w:lang w:eastAsia="es-ES"/>
              </w:rPr>
            </w:pPr>
            <w:r w:rsidRPr="007B3CD9">
              <w:rPr>
                <w:rFonts w:ascii="Arial" w:eastAsia="Calibri" w:hAnsi="Arial" w:cs="Arial"/>
                <w:color w:val="000000" w:themeColor="text1"/>
                <w:lang w:eastAsia="es-ES"/>
              </w:rPr>
              <w:t>El cumplimiento de esta obligación de reporte y seguimiento se respalda mediante el informe de actividades técnicas debidamente diligenciado, las copias de los informes de diagnóstico y de evaluación técnica correspondientes a los procesos de mantenimiento estructurados (cuartos de almacenamiento, tanques, redes hidrosanitarias y ascensores), el oficio técnico de respuesta institucional remitido a la Secretaría de Educación del Tolima, así como las memorias técnicas, bitácoras o reportes de novedades consolidados para el control de los proyectos de bombas eyectoras, redes eléctricas y ambientes no convencionales.</w:t>
            </w:r>
          </w:p>
          <w:p w14:paraId="52FAF661" w14:textId="347DEC3B" w:rsidR="00D51973" w:rsidRPr="008E6FC5" w:rsidRDefault="00D51973" w:rsidP="00D51973">
            <w:pPr>
              <w:pStyle w:val="Sinespaciad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7375C0EB" w14:textId="5F757AE8" w:rsidR="0013328E" w:rsidRDefault="0013328E"/>
    <w:p w14:paraId="58761814" w14:textId="64F30E93" w:rsidR="0013328E" w:rsidRDefault="0013328E"/>
    <w:p w14:paraId="2B6DACFE" w14:textId="001E0EF7" w:rsidR="0013328E" w:rsidRDefault="0013328E"/>
    <w:p w14:paraId="1B7A77B3" w14:textId="7A473CAC" w:rsidR="00FE7F63" w:rsidRDefault="00FE7F63"/>
    <w:p w14:paraId="021C2A16" w14:textId="19EF9CF4" w:rsidR="00FE7F63" w:rsidRDefault="00FE7F63"/>
    <w:p w14:paraId="0F7A5C0E" w14:textId="45A0C209" w:rsidR="00DC1DEB" w:rsidRDefault="00AC2A75">
      <w:r>
        <w:rPr>
          <w:noProof/>
        </w:rPr>
        <w:lastRenderedPageBreak/>
        <mc:AlternateContent>
          <mc:Choice Requires="wps">
            <w:drawing>
              <wp:inline distT="0" distB="0" distL="0" distR="0" wp14:anchorId="5D4F0675" wp14:editId="4340BF04">
                <wp:extent cx="304800" cy="304800"/>
                <wp:effectExtent l="0" t="0" r="0" b="0"/>
                <wp:docPr id="357774610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02B9C7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02ECA73" w14:textId="77777777" w:rsidR="00530D2A" w:rsidRDefault="00530D2A"/>
    <w:p w14:paraId="5BC1467A" w14:textId="475AA78E" w:rsidR="00E167C6" w:rsidRDefault="00E167C6"/>
    <w:p w14:paraId="56C1034D" w14:textId="7BDABAD0" w:rsidR="00E167C6" w:rsidRDefault="00E167C6"/>
    <w:p w14:paraId="4E9DEEE8" w14:textId="77777777" w:rsidR="00530D2A" w:rsidRDefault="00530D2A"/>
    <w:p w14:paraId="0EFFEF62" w14:textId="77777777" w:rsidR="002D0CFE" w:rsidRDefault="002D0CFE"/>
    <w:p w14:paraId="1150E0F9" w14:textId="77777777" w:rsidR="002D0CFE" w:rsidRDefault="002D0CFE"/>
    <w:p w14:paraId="58E6BFE3" w14:textId="77777777" w:rsidR="002D0CFE" w:rsidRDefault="002D0CFE"/>
    <w:p w14:paraId="5748558E" w14:textId="645B5D89" w:rsidR="002D0CFE" w:rsidRDefault="002D0CFE"/>
    <w:p w14:paraId="640655E9" w14:textId="08E1992C" w:rsidR="002D0CFE" w:rsidRDefault="002D0CFE"/>
    <w:p w14:paraId="06057BB2" w14:textId="20203BFF" w:rsidR="002D0CFE" w:rsidRDefault="002D0CFE"/>
    <w:p w14:paraId="08A879F7" w14:textId="0ABEE612" w:rsidR="00DE7241" w:rsidRDefault="00DE7241"/>
    <w:p w14:paraId="34DA0BE6" w14:textId="77777777" w:rsidR="00DE7241" w:rsidRDefault="00DE7241"/>
    <w:p w14:paraId="58AD9521" w14:textId="77777777" w:rsidR="00DE7241" w:rsidRDefault="00DE7241"/>
    <w:p w14:paraId="09B6B448" w14:textId="0FAA5658" w:rsidR="005834CE" w:rsidRDefault="005834CE"/>
    <w:p w14:paraId="0D6BC592" w14:textId="3F620704" w:rsidR="005834CE" w:rsidRDefault="005834CE"/>
    <w:p w14:paraId="2E5A3A5A" w14:textId="14BF23FF" w:rsidR="005834CE" w:rsidRDefault="005834CE"/>
    <w:sectPr w:rsidR="005834CE" w:rsidSect="009E6E6E">
      <w:pgSz w:w="12240" w:h="15840"/>
      <w:pgMar w:top="156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26EB6"/>
    <w:multiLevelType w:val="hybridMultilevel"/>
    <w:tmpl w:val="05781D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014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DEB"/>
    <w:rsid w:val="00090EB4"/>
    <w:rsid w:val="000A571B"/>
    <w:rsid w:val="000C2A20"/>
    <w:rsid w:val="000C71B0"/>
    <w:rsid w:val="000D6473"/>
    <w:rsid w:val="000F35C0"/>
    <w:rsid w:val="00111684"/>
    <w:rsid w:val="00131CBD"/>
    <w:rsid w:val="0013328E"/>
    <w:rsid w:val="0014270A"/>
    <w:rsid w:val="001525A3"/>
    <w:rsid w:val="00161EEB"/>
    <w:rsid w:val="001657C6"/>
    <w:rsid w:val="001709AE"/>
    <w:rsid w:val="001C46F9"/>
    <w:rsid w:val="001D1DA3"/>
    <w:rsid w:val="001D6AF6"/>
    <w:rsid w:val="001F1769"/>
    <w:rsid w:val="00213EB3"/>
    <w:rsid w:val="00273AB7"/>
    <w:rsid w:val="002D0CFE"/>
    <w:rsid w:val="002D708E"/>
    <w:rsid w:val="002F719E"/>
    <w:rsid w:val="0035166C"/>
    <w:rsid w:val="003B1895"/>
    <w:rsid w:val="003F4192"/>
    <w:rsid w:val="00423C7F"/>
    <w:rsid w:val="00494080"/>
    <w:rsid w:val="004D41A1"/>
    <w:rsid w:val="00530D2A"/>
    <w:rsid w:val="005834CE"/>
    <w:rsid w:val="0059633A"/>
    <w:rsid w:val="005B1F6E"/>
    <w:rsid w:val="005E75A6"/>
    <w:rsid w:val="005F2468"/>
    <w:rsid w:val="00600699"/>
    <w:rsid w:val="006464B8"/>
    <w:rsid w:val="0067503E"/>
    <w:rsid w:val="00681A2B"/>
    <w:rsid w:val="006A1507"/>
    <w:rsid w:val="006C6351"/>
    <w:rsid w:val="006D6403"/>
    <w:rsid w:val="006F25DC"/>
    <w:rsid w:val="006F49BC"/>
    <w:rsid w:val="00725867"/>
    <w:rsid w:val="00732BB1"/>
    <w:rsid w:val="00735651"/>
    <w:rsid w:val="00750BDF"/>
    <w:rsid w:val="00794F13"/>
    <w:rsid w:val="0079568F"/>
    <w:rsid w:val="007B3CD9"/>
    <w:rsid w:val="007D50F0"/>
    <w:rsid w:val="007F5A6A"/>
    <w:rsid w:val="0084161F"/>
    <w:rsid w:val="00854CD4"/>
    <w:rsid w:val="00885415"/>
    <w:rsid w:val="008D3235"/>
    <w:rsid w:val="008D4D00"/>
    <w:rsid w:val="008D5206"/>
    <w:rsid w:val="008E5ED0"/>
    <w:rsid w:val="008F1DAF"/>
    <w:rsid w:val="00987401"/>
    <w:rsid w:val="009A5EC5"/>
    <w:rsid w:val="009B1177"/>
    <w:rsid w:val="009E6E6E"/>
    <w:rsid w:val="009E7DAD"/>
    <w:rsid w:val="00A42D11"/>
    <w:rsid w:val="00A9287C"/>
    <w:rsid w:val="00A92F02"/>
    <w:rsid w:val="00A931CE"/>
    <w:rsid w:val="00AB4D91"/>
    <w:rsid w:val="00AC2A75"/>
    <w:rsid w:val="00AF1B61"/>
    <w:rsid w:val="00B62685"/>
    <w:rsid w:val="00BC3A26"/>
    <w:rsid w:val="00C1680A"/>
    <w:rsid w:val="00C40E37"/>
    <w:rsid w:val="00C45F80"/>
    <w:rsid w:val="00C7007F"/>
    <w:rsid w:val="00C826EB"/>
    <w:rsid w:val="00C9545C"/>
    <w:rsid w:val="00CE3304"/>
    <w:rsid w:val="00D51973"/>
    <w:rsid w:val="00D96455"/>
    <w:rsid w:val="00DB38DD"/>
    <w:rsid w:val="00DC1DEB"/>
    <w:rsid w:val="00DC5C07"/>
    <w:rsid w:val="00DD7A92"/>
    <w:rsid w:val="00DE7241"/>
    <w:rsid w:val="00DF4E3B"/>
    <w:rsid w:val="00DF6EE9"/>
    <w:rsid w:val="00E167C6"/>
    <w:rsid w:val="00E26CF4"/>
    <w:rsid w:val="00E34A42"/>
    <w:rsid w:val="00E416D5"/>
    <w:rsid w:val="00E4593E"/>
    <w:rsid w:val="00E46338"/>
    <w:rsid w:val="00E64D78"/>
    <w:rsid w:val="00EC38E9"/>
    <w:rsid w:val="00EC4D61"/>
    <w:rsid w:val="00F05721"/>
    <w:rsid w:val="00F257D2"/>
    <w:rsid w:val="00F978DA"/>
    <w:rsid w:val="00FA0296"/>
    <w:rsid w:val="00FE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71F6"/>
  <w15:chartTrackingRefBased/>
  <w15:docId w15:val="{FE5F0C8B-67ED-4F17-8D52-99A97693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DEB"/>
    <w:pPr>
      <w:spacing w:after="200" w:line="276" w:lineRule="auto"/>
    </w:pPr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C1DEB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DC1DEB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DC1DEB"/>
    <w:rPr>
      <w:rFonts w:eastAsiaTheme="minorEastAsia"/>
      <w:lang w:val="es-CO" w:eastAsia="es-CO"/>
    </w:rPr>
  </w:style>
  <w:style w:type="table" w:customStyle="1" w:styleId="TableNormal">
    <w:name w:val="Table Normal"/>
    <w:uiPriority w:val="2"/>
    <w:semiHidden/>
    <w:unhideWhenUsed/>
    <w:qFormat/>
    <w:rsid w:val="00DC5C07"/>
    <w:pPr>
      <w:widowControl w:val="0"/>
      <w:autoSpaceDE w:val="0"/>
      <w:autoSpaceDN w:val="0"/>
      <w:spacing w:after="0" w:line="240" w:lineRule="auto"/>
    </w:pPr>
    <w:rPr>
      <w:rFonts w:eastAsia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F4E3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  <w:style w:type="paragraph" w:styleId="Encabezado">
    <w:name w:val="header"/>
    <w:basedOn w:val="Normal"/>
    <w:link w:val="EncabezadoCar"/>
    <w:unhideWhenUsed/>
    <w:rsid w:val="000C71B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71B0"/>
    <w:rPr>
      <w:rFonts w:ascii="Calibri" w:eastAsia="Calibri" w:hAnsi="Calibri" w:cs="Times New Roman"/>
      <w:lang w:val="es-CO"/>
    </w:rPr>
  </w:style>
  <w:style w:type="paragraph" w:styleId="Ttulo">
    <w:name w:val="Title"/>
    <w:basedOn w:val="Normal"/>
    <w:next w:val="Normal"/>
    <w:link w:val="TtuloCar"/>
    <w:uiPriority w:val="10"/>
    <w:qFormat/>
    <w:rsid w:val="00BC3A26"/>
    <w:pPr>
      <w:keepNext/>
      <w:keepLines/>
      <w:spacing w:before="480" w:after="120"/>
      <w:jc w:val="both"/>
    </w:pPr>
    <w:rPr>
      <w:rFonts w:cs="Calibri"/>
      <w:b/>
      <w:sz w:val="72"/>
      <w:szCs w:val="72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BC3A26"/>
    <w:rPr>
      <w:rFonts w:ascii="Calibri" w:eastAsia="Calibri" w:hAnsi="Calibri" w:cs="Calibri"/>
      <w:b/>
      <w:sz w:val="72"/>
      <w:szCs w:val="72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297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Ivan Torres Avila</dc:creator>
  <cp:keywords/>
  <dc:description/>
  <cp:lastModifiedBy>Shirly Paola Indira Morales Ruiz</cp:lastModifiedBy>
  <cp:revision>19</cp:revision>
  <dcterms:created xsi:type="dcterms:W3CDTF">2025-01-22T19:37:00Z</dcterms:created>
  <dcterms:modified xsi:type="dcterms:W3CDTF">2026-06-19T19:53:00Z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2025-03-19T02:18:27Z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5a8adf5e-a6fd-436e-b0bd-098410cfa130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